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35"/>
      </w:tblGrid>
      <w:tr w:rsidR="00784257" w14:paraId="5C4A74E9" w14:textId="77777777">
        <w:tc>
          <w:tcPr>
            <w:tcW w:w="10035" w:type="dxa"/>
            <w:shd w:val="clear" w:color="auto" w:fill="C4D600"/>
            <w:tcMar>
              <w:top w:w="52" w:type="dxa"/>
              <w:left w:w="150" w:type="dxa"/>
              <w:bottom w:w="52" w:type="dxa"/>
              <w:right w:w="150" w:type="dxa"/>
            </w:tcMar>
          </w:tcPr>
          <w:p w14:paraId="496900A4" w14:textId="77777777" w:rsidR="00784257" w:rsidRDefault="003D37DE" w:rsidP="000D6E58">
            <w:pPr>
              <w:pStyle w:val="ListParagraph"/>
              <w:tabs>
                <w:tab w:val="right" w:pos="9700"/>
              </w:tabs>
            </w:pPr>
            <w:r>
              <w:rPr>
                <w:b/>
                <w:bCs/>
                <w:color w:val="505759"/>
                <w:spacing w:val="3"/>
              </w:rPr>
              <w:t>WTH-CEN-E01</w:t>
            </w:r>
            <w:r>
              <w:rPr>
                <w:b/>
                <w:bCs/>
                <w:color w:val="505759"/>
              </w:rPr>
              <w:t xml:space="preserve">   |   </w:t>
            </w:r>
            <w:r>
              <w:rPr>
                <w:b/>
                <w:bCs/>
                <w:color w:val="505759"/>
              </w:rPr>
              <w:t>Ayutthaya UNESCO World Heritage &amp; Bang Pa-In Royal Palace Tour</w:t>
            </w:r>
            <w:r>
              <w:rPr>
                <w:b/>
                <w:bCs/>
                <w:color w:val="505759"/>
              </w:rPr>
              <w:tab/>
              <w:t>Full Day</w:t>
            </w:r>
          </w:p>
        </w:tc>
      </w:tr>
    </w:tbl>
    <w:p w14:paraId="2E7E68C7" w14:textId="77777777" w:rsidR="00C07032" w:rsidRDefault="00C07032" w:rsidP="00CC7D1A">
      <w:pPr>
        <w:pBdr>
          <w:bottom w:val="single" w:sz="8" w:space="2" w:color="505759"/>
        </w:pBdr>
        <w:spacing w:before="80" w:after="26" w:line="224" w:lineRule="auto"/>
      </w:pPr>
    </w:p>
    <w:p w14:paraId="4DE104D7" w14:textId="77777777" w:rsidR="00784257" w:rsidRDefault="003D37DE">
      <w:pPr>
        <w:pBdr>
          <w:bottom w:val="single" w:sz="8" w:space="2" w:color="505759"/>
        </w:pBdr>
        <w:spacing w:before="80" w:after="26" w:line="224" w:lineRule="auto"/>
      </w:pPr>
      <w:r>
        <w:rPr>
          <w:b/>
          <w:bCs/>
          <w:caps/>
          <w:color w:val="505759"/>
          <w:spacing w:val="4"/>
        </w:rPr>
        <w:t>Tour Itinerary</w:t>
      </w:r>
    </w:p>
    <w:p w14:paraId="4C83801A" w14:textId="77777777" w:rsidR="00784257" w:rsidRDefault="00784257">
      <w:pPr>
        <w:spacing w:after="26" w:line="224" w:lineRule="auto"/>
      </w:pPr>
    </w:p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00"/>
        <w:gridCol w:w="8135"/>
      </w:tblGrid>
      <w:tr w:rsidR="00784257" w14:paraId="52997996" w14:textId="77777777">
        <w:tc>
          <w:tcPr>
            <w:tcW w:w="1900" w:type="dxa"/>
            <w:shd w:val="clear" w:color="auto" w:fill="505759"/>
            <w:tcMar>
              <w:top w:w="30" w:type="dxa"/>
              <w:left w:w="80" w:type="dxa"/>
              <w:bottom w:w="30" w:type="dxa"/>
              <w:right w:w="80" w:type="dxa"/>
            </w:tcMar>
            <w:vAlign w:val="center"/>
          </w:tcPr>
          <w:p w14:paraId="6BD630AC" w14:textId="77777777" w:rsidR="00784257" w:rsidRDefault="003D37DE">
            <w:pPr>
              <w:spacing w:line="224" w:lineRule="auto"/>
              <w:jc w:val="center"/>
            </w:pPr>
            <w:r>
              <w:rPr>
                <w:b/>
                <w:bCs/>
                <w:color w:val="FFFFFF"/>
              </w:rPr>
              <w:t>08:00</w:t>
            </w:r>
          </w:p>
        </w:tc>
        <w:tc>
          <w:tcPr>
            <w:tcW w:w="8135" w:type="dxa"/>
            <w:shd w:val="clear" w:color="auto" w:fill="C4D600"/>
            <w:tcMar>
              <w:top w:w="30" w:type="dxa"/>
              <w:left w:w="120" w:type="dxa"/>
              <w:bottom w:w="30" w:type="dxa"/>
              <w:right w:w="100" w:type="dxa"/>
            </w:tcMar>
            <w:vAlign w:val="center"/>
          </w:tcPr>
          <w:p w14:paraId="13161E6A" w14:textId="77777777" w:rsidR="00784257" w:rsidRDefault="003D37DE">
            <w:pPr>
              <w:spacing w:line="224" w:lineRule="auto"/>
            </w:pPr>
            <w:r>
              <w:rPr>
                <w:b/>
                <w:bCs/>
                <w:caps/>
                <w:color w:val="505759"/>
                <w:spacing w:val="2"/>
              </w:rPr>
              <w:t>Ayutthaya UNESCO World Heritage &amp; Bang Pa-In Royal Palace Tour</w:t>
            </w:r>
          </w:p>
        </w:tc>
      </w:tr>
    </w:tbl>
    <w:p>
      <w:pPr>
        <w:spacing w:before="34" w:after="26" w:line="224" w:lineRule="auto"/>
        <w:jc w:val="both"/>
      </w:pPr>
      <w:r>
        <w:rPr>
          <w:color w:val="000000"/>
        </w:rPr>
        <w:t xml:space="preserve">Pick up from your hotel lobby and depart to Ayutthaya (approximately 1½ hour drive), Thailand’s second capital and a UNESCO World Heritage Site since 1991. Visit </w:t>
      </w:r>
      <w:r>
        <w:rPr>
          <w:b/>
          <w:bCs/>
          <w:color w:val="000000"/>
        </w:rPr>
        <w:t xml:space="preserve">Wat Mahathat</w:t>
      </w:r>
      <w:r>
        <w:rPr>
          <w:color w:val="000000"/>
        </w:rPr>
        <w:t xml:space="preserve">, famed for the serene stone Buddha head entwined within the roots of a banyan tree, one of the most photographed sights in Thailand.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Continue to </w:t>
      </w:r>
      <w:r>
        <w:rPr>
          <w:b/>
          <w:bCs/>
          <w:color w:val="000000"/>
        </w:rPr>
        <w:t xml:space="preserve">Wat Phra Si Sanphet</w:t>
      </w:r>
      <w:r>
        <w:rPr>
          <w:color w:val="000000"/>
        </w:rPr>
        <w:t xml:space="preserve">, the grandest temple within the old Royal Palace grounds, marked by its three iconic bell-shaped chedis that once enshrined the ashes of Ayutthaya kings.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Lunch is provided at a local restaurant.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Visit </w:t>
      </w:r>
      <w:r>
        <w:rPr>
          <w:b/>
          <w:bCs/>
          <w:color w:val="000000"/>
        </w:rPr>
        <w:t xml:space="preserve">Bang Pa-In Royal Palace</w:t>
      </w:r>
      <w:r>
        <w:rPr>
          <w:color w:val="000000"/>
        </w:rPr>
        <w:t xml:space="preserve">, the elegant former summer residence of the Kings of Siam, set among manicured gardens and reflecting a graceful blend of Thai, Chinese, and European architectural styles.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Conclude at </w:t>
      </w:r>
      <w:r>
        <w:rPr>
          <w:b/>
          <w:bCs/>
          <w:color w:val="000000"/>
        </w:rPr>
        <w:t xml:space="preserve">Wat Yai Chai Mongkol</w:t>
      </w:r>
      <w:r>
        <w:rPr>
          <w:color w:val="000000"/>
        </w:rPr>
        <w:t xml:space="preserve">, home to a towering chedi built to commemorate a Thai military victory, and its rows of seated Buddha images draped in saffron robes. Afterwards, return to Bangkok.</w:t>
      </w:r>
    </w:p>
    <w:p>
      <w:pPr>
        <w:spacing w:before="34" w:after="26" w:line="224" w:lineRule="auto"/>
      </w:pPr>
    </w:p>
    <w:p w14:paraId="5CFD999B" w14:textId="5FC21506" w:rsidR="00CC7D1A" w:rsidRPr="006C0F79" w:rsidRDefault="006C0F79" w:rsidP="006C0F79">
      <w:pPr>
        <w:shd w:val="clear" w:color="auto" w:fill="FFFFFF"/>
        <w:spacing w:before="20" w:after="50" w:line="224" w:lineRule="auto"/>
      </w:pPr>
      <w:r>
        <w:rPr>
          <w:b/>
          <w:bCs/>
          <w:color w:val="505759"/>
        </w:rPr>
        <w:t xml:space="preserve">Departure:  </w:t>
      </w:r>
      <w:r>
        <w:rPr>
          <w:color w:val="000000"/>
        </w:rPr>
        <w:t xml:space="preserve">08:00–17:30 hrs.</w:t>
      </w:r>
    </w:p>
    <w:p w14:paraId="0BF2EB25" w14:textId="77777777" w:rsidR="000D6E58" w:rsidRDefault="000D6E58">
      <w:pPr>
        <w:pBdr>
          <w:bottom w:val="single" w:sz="8" w:space="2" w:color="505759"/>
        </w:pBdr>
        <w:spacing w:before="80" w:after="26" w:line="224" w:lineRule="auto"/>
        <w:rPr>
          <w:b/>
          <w:bCs/>
          <w:caps/>
          <w:color w:val="505759"/>
          <w:spacing w:val="4"/>
        </w:rPr>
      </w:pPr>
    </w:p>
    <w:p w14:paraId="19E9FFA1" w14:textId="046E0643" w:rsidR="00784257" w:rsidRDefault="003D37DE">
      <w:pPr>
        <w:pBdr>
          <w:bottom w:val="single" w:sz="8" w:space="2" w:color="505759"/>
        </w:pBdr>
        <w:spacing w:before="80" w:after="26" w:line="224" w:lineRule="auto"/>
      </w:pPr>
      <w:r>
        <w:rPr>
          <w:b/>
          <w:bCs/>
          <w:caps/>
          <w:color w:val="505759"/>
          <w:spacing w:val="4"/>
        </w:rPr>
        <w:t>Inclusions &amp; Exclusions</w:t>
      </w:r>
    </w:p>
    <w:p w14:paraId="4100705F" w14:textId="77777777" w:rsidR="00784257" w:rsidRDefault="00784257">
      <w:pPr>
        <w:spacing w:after="26" w:line="224" w:lineRule="auto"/>
      </w:pPr>
    </w:p>
    <w:tbl>
      <w:tblPr>
        <w:tblW w:w="10035" w:type="dxa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17"/>
        <w:gridCol w:w="5018"/>
      </w:tblGrid>
      <w:tr w:rsidR="00784257" w14:paraId="7779F494" w14:textId="77777777">
        <w:trPr>
          <w:tblHeader/>
        </w:trPr>
        <w:tc>
          <w:tcPr>
            <w:tcW w:w="5017" w:type="dxa"/>
            <w:shd w:val="clear" w:color="auto" w:fill="505759"/>
            <w:tcMar>
              <w:top w:w="34" w:type="dxa"/>
              <w:left w:w="120" w:type="dxa"/>
              <w:bottom w:w="34" w:type="dxa"/>
              <w:right w:w="100" w:type="dxa"/>
            </w:tcMar>
          </w:tcPr>
          <w:p w14:paraId="48E3BEC8" w14:textId="77777777" w:rsidR="00784257" w:rsidRDefault="003D37DE">
            <w:pPr>
              <w:spacing w:line="224" w:lineRule="auto"/>
            </w:pPr>
            <w:r>
              <w:rPr>
                <w:b/>
                <w:bCs/>
                <w:color w:val="FFFFFF"/>
                <w:spacing w:val="4"/>
              </w:rPr>
              <w:t>INCLUDED</w:t>
            </w:r>
          </w:p>
        </w:tc>
        <w:tc>
          <w:tcPr>
            <w:tcW w:w="5018" w:type="dxa"/>
            <w:shd w:val="clear" w:color="auto" w:fill="000000"/>
            <w:tcMar>
              <w:top w:w="34" w:type="dxa"/>
              <w:left w:w="120" w:type="dxa"/>
              <w:bottom w:w="34" w:type="dxa"/>
              <w:right w:w="100" w:type="dxa"/>
            </w:tcMar>
          </w:tcPr>
          <w:p w14:paraId="641AE96D" w14:textId="77777777" w:rsidR="00784257" w:rsidRDefault="003D37DE">
            <w:pPr>
              <w:spacing w:line="224" w:lineRule="auto"/>
            </w:pPr>
            <w:r>
              <w:rPr>
                <w:b/>
                <w:bCs/>
                <w:color w:val="FFFFFF"/>
                <w:spacing w:val="4"/>
              </w:rPr>
              <w:t>EXCLUDED</w:t>
            </w:r>
          </w:p>
        </w:tc>
      </w:tr>
      <w:tr w:rsidR="00784257" w14:paraId="7E2DAA13" w14:textId="77777777">
        <w:tc>
          <w:tcPr>
            <w:tcW w:w="5017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CA8C6E2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A/C vehicle with experienced driver</w:t>
            </w:r>
          </w:p>
          <w:p w14:paraId="11E27BFC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Licensed English-speaking guide</w:t>
            </w:r>
          </w:p>
          <w:p w14:paraId="38BB28A5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Bottled drinking water during tour</w:t>
            </w:r>
          </w:p>
          <w:p w14:paraId="7F132152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All entrance fees as per itinerary</w:t>
            </w:r>
          </w:p>
          <w:p w14:paraId="1BF24FC3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Tourist accident insurance up to THB 500,000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 xml:space="preserve">Lunch as per itinerary</w:t>
            </w:r>
          </w:p>
        </w:tc>
        <w:tc>
          <w:tcPr>
            <w:tcW w:w="5018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9EAA0D1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Airfare and accommodation</w:t>
            </w:r>
          </w:p>
          <w:p w14:paraId="79283582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Meals and drinks not specified</w:t>
            </w:r>
          </w:p>
          <w:p w14:paraId="1699B64A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Personal expenses and gratuities</w:t>
            </w:r>
          </w:p>
          <w:p w14:paraId="21F2E451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Anything not mentioned as included</w:t>
            </w:r>
          </w:p>
        </w:tc>
      </w:tr>
    </w:tbl>
    <w:p w14:paraId="38E29303" w14:textId="77777777" w:rsidR="00784257" w:rsidRDefault="00784257">
      <w:pPr>
        <w:spacing w:after="50" w:line="224" w:lineRule="auto"/>
      </w:pPr>
    </w:p>
    <w:p w14:paraId="672EBA85" w14:textId="77777777" w:rsidR="00784257" w:rsidRDefault="003D37DE">
      <w:pPr>
        <w:pBdr>
          <w:bottom w:val="single" w:sz="8" w:space="2" w:color="505759"/>
        </w:pBdr>
        <w:spacing w:before="80" w:after="26" w:line="224" w:lineRule="auto"/>
      </w:pPr>
      <w:r>
        <w:rPr>
          <w:b/>
          <w:bCs/>
          <w:caps/>
          <w:color w:val="505759"/>
          <w:spacing w:val="4"/>
        </w:rPr>
        <w:t>Rates &amp; Important Notes</w:t>
      </w:r>
    </w:p>
    <w:p w14:paraId="06B677C2" w14:textId="77777777" w:rsidR="00784257" w:rsidRDefault="003D37DE">
      <w:pPr>
        <w:spacing w:before="42" w:after="22" w:line="224" w:lineRule="auto"/>
      </w:pPr>
      <w:r>
        <w:rPr>
          <w:color w:val="000000"/>
        </w:rPr>
        <w:t xml:space="preserve">Confidential net rates are provided in the accompanying </w:t>
      </w:r>
      <w:r>
        <w:rPr>
          <w:b/>
          <w:bCs/>
          <w:color w:val="505759"/>
        </w:rPr>
        <w:t>Contract Rate Sheet</w:t>
      </w:r>
      <w:r>
        <w:rPr>
          <w:color w:val="000000"/>
        </w:rPr>
        <w:t>, quoted by group size and inclusive of the services above — for the contracted agent only.</w:t>
      </w:r>
    </w:p>
    <w:p w14:paraId="211CEF1F" w14:textId="77777777" w:rsidR="00784257" w:rsidRDefault="003D37DE">
      <w:pPr>
        <w:pStyle w:val="ListParagraph"/>
        <w:numPr>
          <w:ilvl w:val="0"/>
          <w:numId w:val="2"/>
        </w:numPr>
        <w:spacing w:after="8" w:line="224" w:lineRule="auto"/>
      </w:pPr>
      <w:r>
        <w:rPr>
          <w:color w:val="000000"/>
        </w:rPr>
        <w:t>Itinerary may be adjusted for weather, traffic, or site availability; guest safety and comfort come first.</w:t>
      </w:r>
    </w:p>
    <w:p w14:paraId="6E0E4117" w14:textId="77777777" w:rsidR="00784257" w:rsidRDefault="003D37DE">
      <w:pPr>
        <w:pStyle w:val="ListParagraph"/>
        <w:numPr>
          <w:ilvl w:val="0"/>
          <w:numId w:val="2"/>
        </w:numPr>
        <w:spacing w:after="8" w:line="224" w:lineRule="auto"/>
      </w:pPr>
      <w:r>
        <w:rPr>
          <w:color w:val="000000"/>
        </w:rPr>
        <w:t>Temple dress code applies (shoulders and knees covered; shoes removed inside temple buildings).</w:t>
      </w:r>
    </w:p>
    <w:p w14:paraId="33E3FE7A" w14:textId="77777777" w:rsidR="00784257" w:rsidRDefault="003D37DE">
      <w:pPr>
        <w:pStyle w:val="ListParagraph"/>
        <w:numPr>
          <w:ilvl w:val="0"/>
          <w:numId w:val="2"/>
        </w:numPr>
        <w:spacing w:after="8" w:line="224" w:lineRule="auto"/>
      </w:pPr>
      <w:r>
        <w:rPr>
          <w:color w:val="000000"/>
        </w:rPr>
        <w:t>Timings are approximate; bookings and cancellation follow the signed agency contract.</w:t>
      </w:r>
    </w:p>
    <w:sectPr w:rsidR="00784257">
      <w:headerReference w:type="default" r:id="rId7"/>
      <w:footerReference w:type="default" r:id="rId8"/>
      <w:pgSz w:w="11906" w:h="16838"/>
      <w:pgMar w:top="840" w:right="862" w:bottom="700" w:left="1009" w:header="200" w:footer="19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51629" w14:textId="77777777" w:rsidR="003D37DE" w:rsidRDefault="003D37DE">
      <w:r>
        <w:separator/>
      </w:r>
    </w:p>
  </w:endnote>
  <w:endnote w:type="continuationSeparator" w:id="0">
    <w:p w14:paraId="120BFDF6" w14:textId="77777777" w:rsidR="003D37DE" w:rsidRDefault="003D3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91D47" w14:textId="77777777" w:rsidR="003D37DE" w:rsidRDefault="003D37DE">
      <w:r>
        <w:separator/>
      </w:r>
    </w:p>
  </w:footnote>
  <w:footnote w:type="continuationSeparator" w:id="0">
    <w:p w14:paraId="676CB26C" w14:textId="77777777" w:rsidR="003D37DE" w:rsidRDefault="003D37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2EF1B" w14:textId="20E6E71B" w:rsidR="00784257" w:rsidRDefault="003D37DE">
    <w:pPr>
      <w:pBdr>
        <w:bottom w:val="single" w:sz="10" w:space="3" w:color="505759"/>
      </w:pBdr>
      <w:tabs>
        <w:tab w:val="right" w:pos="10035"/>
      </w:tabs>
      <w:spacing w:line="224" w:lineRule="auto"/>
    </w:pPr>
    <w:r>
      <w:rPr>
        <w:noProof/>
      </w:rPr>
      <w:drawing>
        <wp:inline distT="0" distB="0" distL="0" distR="0">
          <wp:extent cx="570071" cy="256032"/>
          <wp:effectExtent l="0" t="0" r="0" b="0"/>
          <wp:docPr id="2000" name="W2M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0" name="W2M Logo"/>
                  <pic:cNvPicPr/>
                </pic:nvPicPr>
                <pic:blipFill>
                  <a:blip r:embed="rIdLogo1"/>
                  <a:stretch>
                    <a:fillRect/>
                  </a:stretch>
                </pic:blipFill>
                <pic:spPr>
                  <a:xfrm>
                    <a:off x="0" y="0"/>
                    <a:ext cx="570071" cy="2560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color w:val="505759"/>
      </w:rPr>
      <w:tab/>
      <w:t>TAT Licen</w:t>
    </w:r>
    <w:r w:rsidR="00CC7D1A">
      <w:rPr>
        <w:b/>
        <w:bCs/>
        <w:color w:val="505759"/>
      </w:rPr>
      <w:t>s</w:t>
    </w:r>
    <w:r>
      <w:rPr>
        <w:b/>
        <w:bCs/>
        <w:color w:val="505759"/>
      </w:rPr>
      <w:t>e No. 21/01016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B2F60"/>
    <w:multiLevelType w:val="hybridMultilevel"/>
    <w:tmpl w:val="8A3495AA"/>
    <w:lvl w:ilvl="0" w:tplc="46E8926C">
      <w:start w:val="1"/>
      <w:numFmt w:val="bullet"/>
      <w:lvlText w:val="–"/>
      <w:lvlJc w:val="left"/>
      <w:pPr>
        <w:ind w:left="240" w:hanging="170"/>
      </w:pPr>
      <w:rPr>
        <w:rFonts w:ascii="Calibri" w:eastAsia="Calibri" w:hAnsi="Calibri" w:cs="Calibri"/>
        <w:color w:val="1F3864"/>
      </w:rPr>
    </w:lvl>
    <w:lvl w:ilvl="1" w:tplc="CF72E79C">
      <w:numFmt w:val="decimal"/>
      <w:lvlText w:val=""/>
      <w:lvlJc w:val="left"/>
    </w:lvl>
    <w:lvl w:ilvl="2" w:tplc="DC3CA54A">
      <w:numFmt w:val="decimal"/>
      <w:lvlText w:val=""/>
      <w:lvlJc w:val="left"/>
    </w:lvl>
    <w:lvl w:ilvl="3" w:tplc="9912C438">
      <w:numFmt w:val="decimal"/>
      <w:lvlText w:val=""/>
      <w:lvlJc w:val="left"/>
    </w:lvl>
    <w:lvl w:ilvl="4" w:tplc="26563D30">
      <w:numFmt w:val="decimal"/>
      <w:lvlText w:val=""/>
      <w:lvlJc w:val="left"/>
    </w:lvl>
    <w:lvl w:ilvl="5" w:tplc="B5B2105A">
      <w:numFmt w:val="decimal"/>
      <w:lvlText w:val=""/>
      <w:lvlJc w:val="left"/>
    </w:lvl>
    <w:lvl w:ilvl="6" w:tplc="9C9A467A">
      <w:numFmt w:val="decimal"/>
      <w:lvlText w:val=""/>
      <w:lvlJc w:val="left"/>
    </w:lvl>
    <w:lvl w:ilvl="7" w:tplc="19C29E7E">
      <w:numFmt w:val="decimal"/>
      <w:lvlText w:val=""/>
      <w:lvlJc w:val="left"/>
    </w:lvl>
    <w:lvl w:ilvl="8" w:tplc="B3B494FE">
      <w:numFmt w:val="decimal"/>
      <w:lvlText w:val=""/>
      <w:lvlJc w:val="left"/>
    </w:lvl>
  </w:abstractNum>
  <w:abstractNum w:abstractNumId="1" w15:restartNumberingAfterBreak="0">
    <w:nsid w:val="7E5726C0"/>
    <w:multiLevelType w:val="hybridMultilevel"/>
    <w:tmpl w:val="C010CA16"/>
    <w:lvl w:ilvl="0" w:tplc="63DC552E">
      <w:start w:val="1"/>
      <w:numFmt w:val="bullet"/>
      <w:lvlText w:val="●"/>
      <w:lvlJc w:val="left"/>
      <w:pPr>
        <w:ind w:left="720" w:hanging="360"/>
      </w:pPr>
    </w:lvl>
    <w:lvl w:ilvl="1" w:tplc="2A00D15E">
      <w:start w:val="1"/>
      <w:numFmt w:val="bullet"/>
      <w:lvlText w:val="○"/>
      <w:lvlJc w:val="left"/>
      <w:pPr>
        <w:ind w:left="1440" w:hanging="360"/>
      </w:pPr>
    </w:lvl>
    <w:lvl w:ilvl="2" w:tplc="9AB49A2A">
      <w:start w:val="1"/>
      <w:numFmt w:val="bullet"/>
      <w:lvlText w:val="■"/>
      <w:lvlJc w:val="left"/>
      <w:pPr>
        <w:ind w:left="2160" w:hanging="360"/>
      </w:pPr>
    </w:lvl>
    <w:lvl w:ilvl="3" w:tplc="D9960920">
      <w:start w:val="1"/>
      <w:numFmt w:val="bullet"/>
      <w:lvlText w:val="●"/>
      <w:lvlJc w:val="left"/>
      <w:pPr>
        <w:ind w:left="2880" w:hanging="360"/>
      </w:pPr>
    </w:lvl>
    <w:lvl w:ilvl="4" w:tplc="5A4EF3BE">
      <w:start w:val="1"/>
      <w:numFmt w:val="bullet"/>
      <w:lvlText w:val="○"/>
      <w:lvlJc w:val="left"/>
      <w:pPr>
        <w:ind w:left="3600" w:hanging="360"/>
      </w:pPr>
    </w:lvl>
    <w:lvl w:ilvl="5" w:tplc="534E2EC4">
      <w:start w:val="1"/>
      <w:numFmt w:val="bullet"/>
      <w:lvlText w:val="■"/>
      <w:lvlJc w:val="left"/>
      <w:pPr>
        <w:ind w:left="4320" w:hanging="360"/>
      </w:pPr>
    </w:lvl>
    <w:lvl w:ilvl="6" w:tplc="7E7E0D14">
      <w:start w:val="1"/>
      <w:numFmt w:val="bullet"/>
      <w:lvlText w:val="●"/>
      <w:lvlJc w:val="left"/>
      <w:pPr>
        <w:ind w:left="5040" w:hanging="360"/>
      </w:pPr>
    </w:lvl>
    <w:lvl w:ilvl="7" w:tplc="246CC0EA">
      <w:start w:val="1"/>
      <w:numFmt w:val="bullet"/>
      <w:lvlText w:val="●"/>
      <w:lvlJc w:val="left"/>
      <w:pPr>
        <w:ind w:left="5760" w:hanging="360"/>
      </w:pPr>
    </w:lvl>
    <w:lvl w:ilvl="8" w:tplc="7792B318">
      <w:start w:val="1"/>
      <w:numFmt w:val="bullet"/>
      <w:lvlText w:val="●"/>
      <w:lvlJc w:val="left"/>
      <w:pPr>
        <w:ind w:left="6480" w:hanging="360"/>
      </w:pPr>
    </w:lvl>
  </w:abstractNum>
  <w:num w:numId="1" w16cid:durableId="1483932252">
    <w:abstractNumId w:val="1"/>
    <w:lvlOverride w:ilvl="0">
      <w:startOverride w:val="1"/>
    </w:lvlOverride>
  </w:num>
  <w:num w:numId="2" w16cid:durableId="8337982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257"/>
    <w:rsid w:val="000D6E58"/>
    <w:rsid w:val="001811BB"/>
    <w:rsid w:val="003D37DE"/>
    <w:rsid w:val="006C0F79"/>
    <w:rsid w:val="00784257"/>
    <w:rsid w:val="00C07032"/>
    <w:rsid w:val="00CB5132"/>
    <w:rsid w:val="00CC7D1A"/>
    <w:rsid w:val="00E0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D60FF7"/>
  <w15:docId w15:val="{933B001D-1687-467C-A1E7-E5B0559DB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C7D1A"/>
    <w:pPr>
      <w:tabs>
        <w:tab w:val="center" w:pos="4513"/>
        <w:tab w:val="right" w:pos="9026"/>
      </w:tabs>
    </w:pPr>
    <w:rPr>
      <w:rFonts w:cs="Angsana New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CC7D1A"/>
    <w:rPr>
      <w:rFonts w:cs="Angsana New"/>
      <w:szCs w:val="28"/>
    </w:rPr>
  </w:style>
  <w:style w:type="paragraph" w:styleId="Footer">
    <w:name w:val="footer"/>
    <w:basedOn w:val="Normal"/>
    <w:link w:val="FooterChar"/>
    <w:uiPriority w:val="99"/>
    <w:unhideWhenUsed/>
    <w:rsid w:val="00CC7D1A"/>
    <w:pPr>
      <w:tabs>
        <w:tab w:val="center" w:pos="4513"/>
        <w:tab w:val="right" w:pos="9026"/>
      </w:tabs>
    </w:pPr>
    <w:rPr>
      <w:rFonts w:cs="Angsana New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C7D1A"/>
    <w:rPr>
      <w:rFonts w:cs="Angsana New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Logo1" Type="http://schemas.openxmlformats.org/officeDocument/2006/relationships/image" Target="media/w2m_logo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279</Words>
  <Characters>1593</Characters>
  <Application>Microsoft Office Word</Application>
  <DocSecurity>0</DocSecurity>
  <Lines>13</Lines>
  <Paragraphs>3</Paragraphs>
  <ScaleCrop>false</ScaleCrop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CM01 Chiang Mai Old City Ancient Temples Tour - Half Day</dc:title>
  <dc:creator>Asian Plus Travel &amp; Service Co., Ltd.</dc:creator>
  <cp:lastModifiedBy>Jakkrich Panyana</cp:lastModifiedBy>
  <cp:revision>9</cp:revision>
  <dcterms:created xsi:type="dcterms:W3CDTF">2026-07-03T02:25:00Z</dcterms:created>
  <dcterms:modified xsi:type="dcterms:W3CDTF">2026-07-03T06:17:00Z</dcterms:modified>
</cp:coreProperties>
</file>